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0CCD" w14:textId="77777777" w:rsidR="00CD49FC" w:rsidRDefault="00CD49FC">
      <w:pPr>
        <w:keepNext/>
        <w:jc w:val="center"/>
        <w:outlineLvl w:val="0"/>
        <w:rPr>
          <w:rFonts w:ascii="PT Astra Serif" w:hAnsi="PT Astra Serif"/>
        </w:rPr>
      </w:pPr>
    </w:p>
    <w:p w14:paraId="4CF5EA7D" w14:textId="77777777" w:rsidR="00CD49FC" w:rsidRDefault="00CD49FC">
      <w:pPr>
        <w:rPr>
          <w:rFonts w:ascii="PT Astra Serif" w:hAnsi="PT Astra Serif"/>
          <w:b/>
          <w:iCs/>
          <w:color w:val="000099"/>
          <w:sz w:val="28"/>
          <w:szCs w:val="28"/>
        </w:rPr>
      </w:pPr>
    </w:p>
    <w:p w14:paraId="1131AB55" w14:textId="77777777" w:rsidR="00CD49FC" w:rsidRDefault="00CD49FC">
      <w:pPr>
        <w:rPr>
          <w:rFonts w:ascii="PT Astra Serif" w:hAnsi="PT Astra Serif"/>
          <w:b/>
          <w:iCs/>
          <w:color w:val="FFFFFF" w:themeColor="background1"/>
          <w:sz w:val="28"/>
          <w:szCs w:val="28"/>
        </w:rPr>
      </w:pPr>
    </w:p>
    <w:p w14:paraId="3986A143" w14:textId="151A0F0B" w:rsidR="00CD49FC" w:rsidRPr="00D52B0D" w:rsidRDefault="00676A81">
      <w:pPr>
        <w:spacing w:line="276" w:lineRule="auto"/>
        <w:jc w:val="center"/>
      </w:pPr>
      <w:bookmarkStart w:id="0" w:name="__DdeLink__39101_2305809891"/>
      <w:r w:rsidRPr="00D52B0D">
        <w:rPr>
          <w:b/>
        </w:rPr>
        <w:t>Об утверждении Регламента д</w:t>
      </w:r>
      <w:bookmarkStart w:id="1" w:name="__DdeLink__39104_2305809891"/>
      <w:r w:rsidRPr="00D52B0D">
        <w:rPr>
          <w:b/>
        </w:rPr>
        <w:t xml:space="preserve">еятельности по выявлению, анализу </w:t>
      </w:r>
      <w:r w:rsidRPr="00D52B0D">
        <w:rPr>
          <w:b/>
        </w:rPr>
        <w:br/>
        <w:t>и устранению критичных уязвимостей в информационных системах, эксплуатируемых в</w:t>
      </w:r>
      <w:bookmarkEnd w:id="0"/>
      <w:bookmarkEnd w:id="1"/>
      <w:r w:rsidR="004E30CF" w:rsidRPr="00D52B0D">
        <w:rPr>
          <w:b/>
        </w:rPr>
        <w:t xml:space="preserve"> ФГБУ «Заповедное Подлеморье»</w:t>
      </w:r>
    </w:p>
    <w:p w14:paraId="7CE568D1" w14:textId="77777777" w:rsidR="00CD49FC" w:rsidRPr="00D52B0D" w:rsidRDefault="00CD49FC">
      <w:pPr>
        <w:pStyle w:val="aa"/>
        <w:spacing w:line="276" w:lineRule="auto"/>
        <w:ind w:firstLine="709"/>
        <w:jc w:val="both"/>
        <w:rPr>
          <w:b w:val="0"/>
          <w:bCs w:val="0"/>
          <w:szCs w:val="24"/>
        </w:rPr>
      </w:pPr>
    </w:p>
    <w:p w14:paraId="07F32632" w14:textId="68215B3A" w:rsidR="00CD49FC" w:rsidRPr="00D52B0D" w:rsidRDefault="00676A81">
      <w:pPr>
        <w:pStyle w:val="aa"/>
        <w:spacing w:line="276" w:lineRule="auto"/>
        <w:ind w:firstLine="709"/>
        <w:jc w:val="both"/>
        <w:rPr>
          <w:szCs w:val="24"/>
        </w:rPr>
      </w:pPr>
      <w:r w:rsidRPr="00D52B0D">
        <w:rPr>
          <w:b w:val="0"/>
          <w:bCs w:val="0"/>
          <w:szCs w:val="24"/>
        </w:rPr>
        <w:t xml:space="preserve">В целях повышения эффективности обеспечения информационной безопасности в </w:t>
      </w:r>
      <w:r w:rsidR="004E30CF" w:rsidRPr="00583ED7">
        <w:rPr>
          <w:rFonts w:eastAsia="Calibri"/>
          <w:b w:val="0"/>
          <w:bCs w:val="0"/>
          <w:szCs w:val="24"/>
          <w:lang w:eastAsia="zh-CN"/>
        </w:rPr>
        <w:t xml:space="preserve">ФГБУ </w:t>
      </w:r>
      <w:r w:rsidR="004E30CF" w:rsidRPr="00583ED7">
        <w:rPr>
          <w:rFonts w:eastAsia="Calibri"/>
          <w:b w:val="0"/>
          <w:bCs w:val="0"/>
          <w:szCs w:val="24"/>
          <w:shd w:val="clear" w:color="auto" w:fill="FFFFFF" w:themeFill="background1"/>
          <w:lang w:eastAsia="zh-CN"/>
        </w:rPr>
        <w:t>«Заповедное Подлеморье»</w:t>
      </w:r>
      <w:r w:rsidRPr="00583ED7">
        <w:rPr>
          <w:b w:val="0"/>
          <w:bCs w:val="0"/>
          <w:szCs w:val="24"/>
          <w:shd w:val="clear" w:color="auto" w:fill="FFFFFF" w:themeFill="background1"/>
        </w:rPr>
        <w:t>,</w:t>
      </w:r>
      <w:r w:rsidRPr="00D52B0D">
        <w:rPr>
          <w:b w:val="0"/>
          <w:bCs w:val="0"/>
          <w:szCs w:val="24"/>
        </w:rPr>
        <w:t xml:space="preserve"> во исполнение пункта 2 приказа Минприроды России от 31.08.2023 № 566 «Об утверждении Регламента деятельности по выявлению, анализу и устранению критичных уязвимостей</w:t>
      </w:r>
      <w:r w:rsidR="00B211A4" w:rsidRPr="00D52B0D">
        <w:rPr>
          <w:b w:val="0"/>
          <w:bCs w:val="0"/>
          <w:szCs w:val="24"/>
        </w:rPr>
        <w:t xml:space="preserve"> </w:t>
      </w:r>
      <w:r w:rsidRPr="00D52B0D">
        <w:rPr>
          <w:b w:val="0"/>
          <w:bCs w:val="0"/>
          <w:szCs w:val="24"/>
        </w:rPr>
        <w:t xml:space="preserve">в информационных системах, эксплуатируемых </w:t>
      </w:r>
      <w:proofErr w:type="gramStart"/>
      <w:r w:rsidRPr="00D52B0D">
        <w:rPr>
          <w:b w:val="0"/>
          <w:bCs w:val="0"/>
          <w:szCs w:val="24"/>
        </w:rPr>
        <w:t>в</w:t>
      </w:r>
      <w:r w:rsidR="00B211A4" w:rsidRPr="00D52B0D">
        <w:rPr>
          <w:b w:val="0"/>
          <w:bCs w:val="0"/>
          <w:szCs w:val="24"/>
        </w:rPr>
        <w:t xml:space="preserve"> ФГБУ «Заповедное Подлеморье»</w:t>
      </w:r>
      <w:proofErr w:type="gramEnd"/>
      <w:r w:rsidR="00B211A4" w:rsidRPr="00D52B0D">
        <w:rPr>
          <w:b w:val="0"/>
          <w:bCs w:val="0"/>
          <w:szCs w:val="24"/>
        </w:rPr>
        <w:t xml:space="preserve"> </w:t>
      </w:r>
      <w:r w:rsidRPr="00D52B0D">
        <w:rPr>
          <w:b w:val="0"/>
          <w:bCs w:val="0"/>
          <w:spacing w:val="40"/>
          <w:szCs w:val="24"/>
        </w:rPr>
        <w:t>приказываю</w:t>
      </w:r>
      <w:r w:rsidRPr="00D52B0D">
        <w:rPr>
          <w:b w:val="0"/>
          <w:bCs w:val="0"/>
          <w:szCs w:val="24"/>
        </w:rPr>
        <w:t>:</w:t>
      </w:r>
    </w:p>
    <w:p w14:paraId="160D00D7" w14:textId="55BF72D5" w:rsidR="00CD49FC" w:rsidRPr="00D52B0D" w:rsidRDefault="00676A81" w:rsidP="00583ED7">
      <w:pPr>
        <w:shd w:val="clear" w:color="auto" w:fill="FFFFFF" w:themeFill="background1"/>
        <w:tabs>
          <w:tab w:val="left" w:pos="1134"/>
          <w:tab w:val="left" w:pos="1701"/>
          <w:tab w:val="left" w:pos="6379"/>
        </w:tabs>
        <w:spacing w:line="276" w:lineRule="auto"/>
        <w:ind w:firstLine="709"/>
        <w:jc w:val="both"/>
      </w:pPr>
      <w:r w:rsidRPr="00D52B0D">
        <w:t>1.</w:t>
      </w:r>
      <w:r w:rsidRPr="00D52B0D">
        <w:tab/>
        <w:t xml:space="preserve">Утвердить прилагаемый Регламент деятельности по выявлению, </w:t>
      </w:r>
      <w:proofErr w:type="gramStart"/>
      <w:r w:rsidRPr="00D52B0D">
        <w:t>анализу</w:t>
      </w:r>
      <w:r w:rsidR="007C7143" w:rsidRPr="00D52B0D">
        <w:t xml:space="preserve">  </w:t>
      </w:r>
      <w:r w:rsidRPr="00D52B0D">
        <w:t>и</w:t>
      </w:r>
      <w:proofErr w:type="gramEnd"/>
      <w:r w:rsidRPr="00D52B0D">
        <w:t xml:space="preserve"> устранению критичных уязвимостей в информационных системах, эксплуатируемых в </w:t>
      </w:r>
      <w:r w:rsidR="004E30CF" w:rsidRPr="00583ED7">
        <w:rPr>
          <w:shd w:val="clear" w:color="auto" w:fill="FFFFFF" w:themeFill="background1"/>
        </w:rPr>
        <w:t>ФГБУ «Заповедное</w:t>
      </w:r>
      <w:r w:rsidR="004E30CF" w:rsidRPr="00D52B0D">
        <w:rPr>
          <w:shd w:val="clear" w:color="auto" w:fill="FFFF00"/>
        </w:rPr>
        <w:t xml:space="preserve"> </w:t>
      </w:r>
      <w:r w:rsidR="004E30CF" w:rsidRPr="00583ED7">
        <w:rPr>
          <w:shd w:val="clear" w:color="auto" w:fill="FFFFFF" w:themeFill="background1"/>
        </w:rPr>
        <w:t>Подлеморье»</w:t>
      </w:r>
      <w:r w:rsidRPr="00583ED7">
        <w:rPr>
          <w:shd w:val="clear" w:color="auto" w:fill="FFFFFF" w:themeFill="background1"/>
        </w:rPr>
        <w:t>.</w:t>
      </w:r>
    </w:p>
    <w:p w14:paraId="0BE6062F" w14:textId="35E1EA8B" w:rsidR="00CD49FC" w:rsidRPr="00D52B0D" w:rsidRDefault="00676A81">
      <w:pPr>
        <w:tabs>
          <w:tab w:val="left" w:pos="1134"/>
          <w:tab w:val="left" w:pos="1560"/>
        </w:tabs>
        <w:spacing w:line="276" w:lineRule="auto"/>
        <w:ind w:firstLine="709"/>
        <w:jc w:val="both"/>
      </w:pPr>
      <w:r w:rsidRPr="00D52B0D">
        <w:t>2.</w:t>
      </w:r>
      <w:r w:rsidRPr="00D52B0D">
        <w:tab/>
        <w:t>Контроль за исполнением настоящего приказа</w:t>
      </w:r>
      <w:r w:rsidR="004E30CF" w:rsidRPr="00D52B0D">
        <w:t xml:space="preserve"> оставляю за собой</w:t>
      </w:r>
      <w:r w:rsidRPr="00D52B0D">
        <w:t xml:space="preserve">. </w:t>
      </w:r>
    </w:p>
    <w:p w14:paraId="2327721B" w14:textId="77777777" w:rsidR="004E30CF" w:rsidRPr="00D52B0D" w:rsidRDefault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</w:p>
    <w:p w14:paraId="3918E899" w14:textId="77777777" w:rsidR="004E30CF" w:rsidRPr="00D52B0D" w:rsidRDefault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</w:p>
    <w:p w14:paraId="1676B42B" w14:textId="77777777" w:rsidR="004E30CF" w:rsidRPr="00D52B0D" w:rsidRDefault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</w:p>
    <w:p w14:paraId="5BC5484D" w14:textId="77777777" w:rsidR="004E30CF" w:rsidRPr="00D52B0D" w:rsidRDefault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</w:p>
    <w:p w14:paraId="1A93EC8C" w14:textId="540F2D3E" w:rsidR="004E30CF" w:rsidRPr="00D52B0D" w:rsidRDefault="004E30CF" w:rsidP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  <w:r w:rsidRPr="00D52B0D">
        <w:t xml:space="preserve">                 Директор </w:t>
      </w:r>
    </w:p>
    <w:p w14:paraId="1B838A49" w14:textId="643A0B61" w:rsidR="004E30CF" w:rsidRPr="00D52B0D" w:rsidRDefault="004E30CF" w:rsidP="004E30CF">
      <w:pPr>
        <w:tabs>
          <w:tab w:val="left" w:pos="1134"/>
          <w:tab w:val="left" w:pos="1560"/>
        </w:tabs>
        <w:spacing w:line="276" w:lineRule="auto"/>
        <w:ind w:firstLine="709"/>
        <w:jc w:val="both"/>
      </w:pPr>
      <w:r w:rsidRPr="00D52B0D">
        <w:t xml:space="preserve">ФГБУ «Заповедное </w:t>
      </w:r>
      <w:proofErr w:type="gramStart"/>
      <w:r w:rsidRPr="00D52B0D">
        <w:t xml:space="preserve">Подлеморье»   </w:t>
      </w:r>
      <w:proofErr w:type="gramEnd"/>
      <w:r w:rsidRPr="00D52B0D">
        <w:t xml:space="preserve">                    М.Е.Овдин</w:t>
      </w:r>
    </w:p>
    <w:p w14:paraId="1287F6E5" w14:textId="77777777" w:rsidR="00CD49FC" w:rsidRPr="00D52B0D" w:rsidRDefault="00CD49FC">
      <w:pPr>
        <w:pStyle w:val="aa"/>
        <w:tabs>
          <w:tab w:val="left" w:pos="709"/>
        </w:tabs>
        <w:spacing w:line="276" w:lineRule="auto"/>
        <w:ind w:right="-142"/>
        <w:jc w:val="both"/>
        <w:rPr>
          <w:szCs w:val="24"/>
        </w:rPr>
      </w:pPr>
    </w:p>
    <w:p w14:paraId="05175D0D" w14:textId="77777777" w:rsidR="00CD49FC" w:rsidRPr="00D52B0D" w:rsidRDefault="00CD49FC">
      <w:pPr>
        <w:spacing w:line="240" w:lineRule="atLeast"/>
        <w:ind w:left="709"/>
        <w:jc w:val="both"/>
      </w:pPr>
    </w:p>
    <w:p w14:paraId="6C59757D" w14:textId="77777777" w:rsidR="00CD49FC" w:rsidRPr="00D52B0D" w:rsidRDefault="00CD49FC">
      <w:pPr>
        <w:spacing w:line="276" w:lineRule="auto"/>
        <w:ind w:left="709"/>
        <w:jc w:val="both"/>
      </w:pPr>
    </w:p>
    <w:p w14:paraId="3EFD3E56" w14:textId="77777777" w:rsidR="00CD49FC" w:rsidRPr="00D52B0D" w:rsidRDefault="00CD49FC">
      <w:pPr>
        <w:spacing w:line="276" w:lineRule="auto"/>
      </w:pPr>
    </w:p>
    <w:p w14:paraId="144D41E3" w14:textId="77777777" w:rsidR="00CD49FC" w:rsidRPr="00D52B0D" w:rsidRDefault="00CD49FC">
      <w:pPr>
        <w:spacing w:line="276" w:lineRule="auto"/>
        <w:ind w:left="360"/>
        <w:jc w:val="both"/>
      </w:pPr>
    </w:p>
    <w:p w14:paraId="72E5505E" w14:textId="77777777" w:rsidR="00CD49FC" w:rsidRPr="00D52B0D" w:rsidRDefault="00CD49FC">
      <w:pPr>
        <w:jc w:val="center"/>
      </w:pPr>
    </w:p>
    <w:p w14:paraId="62491B1C" w14:textId="77777777" w:rsidR="00CD49FC" w:rsidRPr="00D52B0D" w:rsidRDefault="00CD49FC">
      <w:pPr>
        <w:jc w:val="center"/>
      </w:pPr>
    </w:p>
    <w:p w14:paraId="29A1EFD8" w14:textId="77777777" w:rsidR="00CD49FC" w:rsidRPr="00D52B0D" w:rsidRDefault="00CD49FC">
      <w:pPr>
        <w:jc w:val="center"/>
      </w:pPr>
    </w:p>
    <w:p w14:paraId="447AEFCF" w14:textId="77777777" w:rsidR="00CD49FC" w:rsidRPr="00D52B0D" w:rsidRDefault="00CD49FC">
      <w:pPr>
        <w:jc w:val="center"/>
      </w:pPr>
    </w:p>
    <w:p w14:paraId="3B4EB6D6" w14:textId="77777777" w:rsidR="00CD49FC" w:rsidRPr="00D52B0D" w:rsidRDefault="00CD49FC">
      <w:pPr>
        <w:jc w:val="center"/>
      </w:pPr>
    </w:p>
    <w:p w14:paraId="55C8F307" w14:textId="77777777" w:rsidR="00CD49FC" w:rsidRPr="00D52B0D" w:rsidRDefault="00676A81">
      <w:pPr>
        <w:sectPr w:rsidR="00CD49FC" w:rsidRPr="00D52B0D">
          <w:pgSz w:w="11906" w:h="16838"/>
          <w:pgMar w:top="1559" w:right="567" w:bottom="1134" w:left="1134" w:header="0" w:footer="0" w:gutter="0"/>
          <w:cols w:space="720"/>
          <w:formProt w:val="0"/>
          <w:docGrid w:linePitch="360"/>
        </w:sectPr>
      </w:pPr>
      <w:r w:rsidRPr="00D52B0D">
        <w:br w:type="page"/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3"/>
        <w:gridCol w:w="4542"/>
      </w:tblGrid>
      <w:tr w:rsidR="00CD49FC" w:rsidRPr="00A563BF" w14:paraId="238CAC1D" w14:textId="77777777">
        <w:tc>
          <w:tcPr>
            <w:tcW w:w="5662" w:type="dxa"/>
          </w:tcPr>
          <w:p w14:paraId="192031BB" w14:textId="77777777" w:rsidR="00CD49FC" w:rsidRPr="00D52B0D" w:rsidRDefault="00CD49FC">
            <w:pPr>
              <w:pStyle w:val="af2"/>
              <w:pageBreakBefore/>
            </w:pPr>
          </w:p>
        </w:tc>
        <w:tc>
          <w:tcPr>
            <w:tcW w:w="4542" w:type="dxa"/>
          </w:tcPr>
          <w:p w14:paraId="032092C7" w14:textId="77777777" w:rsidR="00CD49FC" w:rsidRPr="00A563BF" w:rsidRDefault="00676A81">
            <w:pPr>
              <w:pStyle w:val="af2"/>
              <w:jc w:val="center"/>
            </w:pPr>
            <w:r w:rsidRPr="00A563BF">
              <w:t>Утвержден приказом</w:t>
            </w:r>
          </w:p>
          <w:p w14:paraId="13AB867B" w14:textId="5F58C0CB" w:rsidR="00CD49FC" w:rsidRPr="00A563BF" w:rsidRDefault="009C01EB" w:rsidP="00583ED7">
            <w:pPr>
              <w:pStyle w:val="af2"/>
              <w:jc w:val="center"/>
              <w:rPr>
                <w:shd w:val="clear" w:color="auto" w:fill="FFFF00"/>
              </w:rPr>
            </w:pPr>
            <w:r w:rsidRPr="00583ED7">
              <w:t>ФГБУ «Заповедное Подлеморье»</w:t>
            </w:r>
          </w:p>
          <w:p w14:paraId="3652DA47" w14:textId="77777777" w:rsidR="00CD49FC" w:rsidRPr="00A563BF" w:rsidRDefault="00676A81">
            <w:pPr>
              <w:pStyle w:val="af2"/>
              <w:jc w:val="center"/>
            </w:pPr>
            <w:r w:rsidRPr="00A563BF">
              <w:t>от ____________ №_____</w:t>
            </w:r>
          </w:p>
        </w:tc>
      </w:tr>
    </w:tbl>
    <w:p w14:paraId="66B3919A" w14:textId="77777777" w:rsidR="00CD49FC" w:rsidRPr="00A563BF" w:rsidRDefault="00CD49FC" w:rsidP="00583ED7">
      <w:pPr>
        <w:shd w:val="clear" w:color="auto" w:fill="FFFFFF" w:themeFill="background1"/>
      </w:pPr>
    </w:p>
    <w:p w14:paraId="11E59C36" w14:textId="02331819" w:rsidR="00CD49FC" w:rsidRPr="00A563BF" w:rsidRDefault="00676A81" w:rsidP="00583ED7">
      <w:pPr>
        <w:shd w:val="clear" w:color="auto" w:fill="FFFFFF" w:themeFill="background1"/>
        <w:spacing w:line="276" w:lineRule="auto"/>
        <w:jc w:val="center"/>
      </w:pPr>
      <w:r w:rsidRPr="00A563BF">
        <w:rPr>
          <w:rFonts w:eastAsia="Calibri"/>
          <w:b/>
          <w:lang w:eastAsia="zh-CN"/>
        </w:rPr>
        <w:t>РЕГЛАМЕНТ ДЕЯТЕЛЬНОСТИ ПО ВЫЯВЛЕНИЮ, АНАЛИЗУ</w:t>
      </w:r>
      <w:r w:rsidRPr="00A563BF">
        <w:rPr>
          <w:rFonts w:eastAsia="Calibri"/>
          <w:b/>
          <w:lang w:eastAsia="zh-CN"/>
        </w:rPr>
        <w:br/>
        <w:t xml:space="preserve">И УСТРАНЕНИЮ КРИТИЧНЫХ УЯЗВИМОСТЕЙ В ИНФОРМАЦИОННЫХ СИСТЕМАХ, ЭКСПЛУАТИРУЕМЫХ </w:t>
      </w:r>
      <w:r w:rsidR="00A563BF" w:rsidRPr="00A563BF">
        <w:rPr>
          <w:rFonts w:eastAsia="Calibri"/>
          <w:b/>
          <w:lang w:eastAsia="zh-CN"/>
        </w:rPr>
        <w:t xml:space="preserve">В </w:t>
      </w:r>
      <w:r w:rsidR="00A563BF" w:rsidRPr="00583ED7">
        <w:rPr>
          <w:rFonts w:eastAsia="Calibri"/>
          <w:b/>
          <w:shd w:val="clear" w:color="auto" w:fill="FFFFFF" w:themeFill="background1"/>
          <w:lang w:eastAsia="zh-CN"/>
        </w:rPr>
        <w:t>ФГБУ «ЗАПОВЕДНОЕ ПОДЛЕМОРЬЕ»</w:t>
      </w:r>
    </w:p>
    <w:p w14:paraId="30A6803C" w14:textId="77777777" w:rsidR="00CD49FC" w:rsidRPr="00A563BF" w:rsidRDefault="00CD49FC" w:rsidP="00583ED7">
      <w:pPr>
        <w:widowControl w:val="0"/>
        <w:shd w:val="clear" w:color="auto" w:fill="FFFFFF" w:themeFill="background1"/>
        <w:spacing w:line="276" w:lineRule="auto"/>
        <w:jc w:val="both"/>
        <w:rPr>
          <w:rFonts w:eastAsia="Calibri"/>
          <w:color w:val="000000"/>
          <w:lang w:eastAsia="zh-CN" w:bidi="ru-RU"/>
        </w:rPr>
      </w:pPr>
    </w:p>
    <w:p w14:paraId="7E92559C" w14:textId="77777777" w:rsidR="00CD49FC" w:rsidRPr="00A563BF" w:rsidRDefault="00676A81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contextualSpacing/>
        <w:jc w:val="center"/>
      </w:pPr>
      <w:r w:rsidRPr="00A563BF">
        <w:rPr>
          <w:rFonts w:eastAsia="Calibri"/>
          <w:b/>
          <w:color w:val="000000"/>
          <w:lang w:eastAsia="zh-CN" w:bidi="ru-RU"/>
        </w:rPr>
        <w:t>ОБЩИЕ ПОЛОЖЕНИЯ</w:t>
      </w:r>
    </w:p>
    <w:p w14:paraId="4EEB3D61" w14:textId="77777777" w:rsidR="00CD49FC" w:rsidRPr="00A563BF" w:rsidRDefault="00CD49FC">
      <w:pPr>
        <w:widowControl w:val="0"/>
        <w:spacing w:line="276" w:lineRule="auto"/>
        <w:jc w:val="center"/>
        <w:rPr>
          <w:rFonts w:eastAsia="Calibri"/>
          <w:color w:val="000000"/>
          <w:lang w:eastAsia="zh-CN" w:bidi="ru-RU"/>
        </w:rPr>
      </w:pPr>
    </w:p>
    <w:p w14:paraId="319E87E2" w14:textId="2822D1D5" w:rsidR="00CD49FC" w:rsidRPr="00A563BF" w:rsidRDefault="00676A81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A563BF">
        <w:rPr>
          <w:rFonts w:eastAsia="Calibri"/>
          <w:lang w:eastAsia="zh-CN"/>
        </w:rPr>
        <w:t xml:space="preserve">Настоящий регламент разработан на основе Руководства по организации процесса управления уязвимостями в органе (организации), утвержденного ФСТЭК России от 17 мая 2023 г и определяет состав и содержание работ по анализу и устранению уязвимостей, выявленных в информационных системах </w:t>
      </w:r>
      <w:r w:rsidR="009C01EB" w:rsidRPr="00583ED7">
        <w:rPr>
          <w:rFonts w:eastAsia="Calibri"/>
          <w:shd w:val="clear" w:color="auto" w:fill="FFFFFF" w:themeFill="background1"/>
          <w:lang w:eastAsia="zh-CN"/>
        </w:rPr>
        <w:t>ФГБУ «Заповедное Подлеморье»</w:t>
      </w:r>
      <w:r w:rsidRPr="00583ED7">
        <w:rPr>
          <w:rFonts w:eastAsia="Calibri"/>
          <w:shd w:val="clear" w:color="auto" w:fill="FFFFFF" w:themeFill="background1"/>
          <w:lang w:eastAsia="zh-CN"/>
        </w:rPr>
        <w:t>.</w:t>
      </w:r>
    </w:p>
    <w:p w14:paraId="29CFB42E" w14:textId="03B29970" w:rsidR="00CD49FC" w:rsidRPr="00A563BF" w:rsidRDefault="00676A81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A563BF">
        <w:rPr>
          <w:rFonts w:eastAsia="Calibri"/>
          <w:lang w:eastAsia="zh-CN"/>
        </w:rPr>
        <w:t xml:space="preserve">Целью данного регламента является обеспечение безопасности и защиты информации, хранимой и обрабатываемой в информационных </w:t>
      </w:r>
      <w:proofErr w:type="gramStart"/>
      <w:r w:rsidRPr="00A563BF">
        <w:rPr>
          <w:rFonts w:eastAsia="Calibri"/>
          <w:lang w:eastAsia="zh-CN"/>
        </w:rPr>
        <w:t>системах .</w:t>
      </w:r>
      <w:proofErr w:type="gramEnd"/>
    </w:p>
    <w:p w14:paraId="204022B4" w14:textId="31E42B66" w:rsidR="00CD49FC" w:rsidRPr="00A563BF" w:rsidRDefault="00676A81">
      <w:pPr>
        <w:widowControl w:val="0"/>
        <w:numPr>
          <w:ilvl w:val="1"/>
          <w:numId w:val="3"/>
        </w:numPr>
        <w:tabs>
          <w:tab w:val="left" w:pos="1276"/>
        </w:tabs>
        <w:spacing w:line="276" w:lineRule="auto"/>
        <w:ind w:left="0" w:firstLine="709"/>
        <w:contextualSpacing/>
        <w:jc w:val="both"/>
      </w:pPr>
      <w:r w:rsidRPr="00A563BF">
        <w:rPr>
          <w:rFonts w:eastAsia="Calibri"/>
          <w:lang w:eastAsia="zh-CN"/>
        </w:rPr>
        <w:t xml:space="preserve">Настоящий регламент подлежит применению </w:t>
      </w:r>
      <w:r w:rsidR="009C01EB" w:rsidRPr="00583ED7">
        <w:rPr>
          <w:rFonts w:eastAsia="Calibri"/>
          <w:shd w:val="clear" w:color="auto" w:fill="FFFFFF" w:themeFill="background1"/>
          <w:lang w:eastAsia="zh-CN"/>
        </w:rPr>
        <w:t>ФГБУ «Заповедное Подлеморье».</w:t>
      </w:r>
      <w:r w:rsidRPr="00A563BF">
        <w:rPr>
          <w:rFonts w:eastAsia="Calibri"/>
          <w:lang w:eastAsia="zh-CN"/>
        </w:rPr>
        <w:t xml:space="preserve"> при принятии мер по устранению уязвимостей программных, программно-аппаратных средств информационных систем в соответствии с требованиями о защите информации, содержащейся в государственных информационных системах, а также иными нормативными правовыми актами и методическими документами ФСТЭК России.</w:t>
      </w:r>
    </w:p>
    <w:p w14:paraId="57800CA2" w14:textId="77777777" w:rsidR="00CD49FC" w:rsidRPr="00A563BF" w:rsidRDefault="00676A81">
      <w:pPr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1.4. Процесс анализа и устранения уязвимостей включает пять основных этапов: мониторинг</w:t>
      </w:r>
      <w:r w:rsidRPr="00A563BF">
        <w:rPr>
          <w:rFonts w:eastAsia="Arial Unicode MS"/>
        </w:rPr>
        <w:t xml:space="preserve"> уязвимостей и оценки их применимости, оценка уязвимостей, определение методов и приоритетов устранения уязвимостей, устранение уязвимостей и контроль устранения уязвимостей.</w:t>
      </w:r>
    </w:p>
    <w:p w14:paraId="66719A5C" w14:textId="77777777" w:rsidR="00CD49FC" w:rsidRPr="00A563BF" w:rsidRDefault="00CD49FC">
      <w:pPr>
        <w:tabs>
          <w:tab w:val="left" w:pos="1276"/>
        </w:tabs>
        <w:spacing w:line="276" w:lineRule="auto"/>
        <w:contextualSpacing/>
        <w:jc w:val="both"/>
        <w:rPr>
          <w:rFonts w:eastAsia="Calibri"/>
          <w:color w:val="000000"/>
          <w:lang w:eastAsia="zh-CN" w:bidi="ru-RU"/>
        </w:rPr>
      </w:pPr>
    </w:p>
    <w:p w14:paraId="2F3BB0C3" w14:textId="77777777" w:rsidR="00CD49FC" w:rsidRPr="00A563BF" w:rsidRDefault="00CD49FC">
      <w:pPr>
        <w:widowControl w:val="0"/>
        <w:tabs>
          <w:tab w:val="left" w:pos="1276"/>
        </w:tabs>
        <w:spacing w:line="276" w:lineRule="auto"/>
        <w:jc w:val="both"/>
        <w:rPr>
          <w:rFonts w:eastAsia="Calibri"/>
          <w:color w:val="000000"/>
          <w:lang w:eastAsia="zh-CN" w:bidi="ru-RU"/>
        </w:rPr>
      </w:pPr>
    </w:p>
    <w:p w14:paraId="1FF8ED8D" w14:textId="77777777" w:rsidR="00CD49FC" w:rsidRPr="00A563BF" w:rsidRDefault="00676A8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firstLine="0"/>
        <w:contextualSpacing/>
        <w:jc w:val="center"/>
      </w:pPr>
      <w:r w:rsidRPr="00A563BF">
        <w:br w:type="column"/>
      </w:r>
      <w:r w:rsidRPr="00A563BF">
        <w:rPr>
          <w:rFonts w:eastAsia="Calibri"/>
          <w:b/>
          <w:color w:val="000000"/>
          <w:lang w:eastAsia="zh-CN" w:bidi="ru-RU"/>
        </w:rPr>
        <w:lastRenderedPageBreak/>
        <w:t>ВЫЯВЛЕНИЕ УЯЗВИМОСТЕЙ</w:t>
      </w:r>
    </w:p>
    <w:p w14:paraId="2BBE035B" w14:textId="77777777" w:rsidR="00CD49FC" w:rsidRPr="00A563BF" w:rsidRDefault="00CD49FC">
      <w:pPr>
        <w:widowControl w:val="0"/>
        <w:tabs>
          <w:tab w:val="left" w:pos="426"/>
        </w:tabs>
        <w:spacing w:line="276" w:lineRule="auto"/>
        <w:jc w:val="center"/>
        <w:rPr>
          <w:rFonts w:eastAsia="Calibri"/>
          <w:b/>
          <w:color w:val="000000"/>
          <w:lang w:eastAsia="zh-CN" w:bidi="ru-RU"/>
        </w:rPr>
      </w:pPr>
    </w:p>
    <w:p w14:paraId="33937853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2.1. Выявление уязвимостей осуществляется на этапе мониторинга уязвимостей и оценки их применимости на основании данных из следующих источников:</w:t>
      </w:r>
    </w:p>
    <w:p w14:paraId="3B7BDFD2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а) внутренние источники:</w:t>
      </w:r>
    </w:p>
    <w:p w14:paraId="1A4642B3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системы управления информационной инфраструктурой (далее – ИТ-инфраструктура);</w:t>
      </w:r>
    </w:p>
    <w:p w14:paraId="1479847A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базы данных управления конфигурациями;</w:t>
      </w:r>
    </w:p>
    <w:p w14:paraId="14DBFFAF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документация на информационные системы;</w:t>
      </w:r>
    </w:p>
    <w:p w14:paraId="56EC9B5D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б) база данных уязвимостей, содержащаяся в Банке данных угроз безопасности информации (далее – БДУ) ФСТЭК России;</w:t>
      </w:r>
    </w:p>
    <w:p w14:paraId="4E1120DE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в) внешние источники:</w:t>
      </w:r>
    </w:p>
    <w:p w14:paraId="0226B593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базы данных, содержащие сведения об известных уязвимостях;</w:t>
      </w:r>
    </w:p>
    <w:p w14:paraId="22108279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официальные информационные ресурсы разработчиков программных и программно-аппаратных средств и исследователей в области информационной безопасности.</w:t>
      </w:r>
    </w:p>
    <w:p w14:paraId="6E6A2D07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2.2. На этапе мониторинга уязвимостей и оценки их применимости выполняются операции, приведенные в таблице 1.</w:t>
      </w:r>
    </w:p>
    <w:p w14:paraId="7A4E6AE9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right"/>
      </w:pPr>
      <w:r w:rsidRPr="00A563BF">
        <w:rPr>
          <w:rFonts w:eastAsia="Calibri"/>
          <w:color w:val="000000"/>
          <w:lang w:eastAsia="zh-CN" w:bidi="ru-RU"/>
        </w:rPr>
        <w:t>Таблица 1</w:t>
      </w:r>
    </w:p>
    <w:tbl>
      <w:tblPr>
        <w:tblW w:w="10152" w:type="dxa"/>
        <w:tblInd w:w="12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93"/>
        <w:gridCol w:w="1975"/>
        <w:gridCol w:w="7484"/>
      </w:tblGrid>
      <w:tr w:rsidR="00CD49FC" w:rsidRPr="00A563BF" w14:paraId="1399C9ED" w14:textId="7777777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87923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№</w:t>
            </w:r>
          </w:p>
          <w:p w14:paraId="1BFBFD5F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п/п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3EE32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Наименование</w:t>
            </w:r>
          </w:p>
          <w:p w14:paraId="3C45AEFC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операции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C393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Описание операции</w:t>
            </w:r>
          </w:p>
        </w:tc>
      </w:tr>
      <w:tr w:rsidR="00CD49FC" w:rsidRPr="00A563BF" w14:paraId="12DF8AC1" w14:textId="77777777"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455AE" w14:textId="77777777" w:rsidR="00CD49FC" w:rsidRPr="00A563BF" w:rsidRDefault="00CD49FC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799C1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Анализ</w:t>
            </w:r>
          </w:p>
          <w:p w14:paraId="1D9234AB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информации об</w:t>
            </w:r>
          </w:p>
          <w:p w14:paraId="0CFB3667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уязвимости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BC53" w14:textId="3951591D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Анализ информации из различных источников c целью поиска актуальных и потенциальных уязвимостей и оценки их применимости к информационным системам</w:t>
            </w:r>
            <w:r w:rsidR="009C01EB" w:rsidRPr="00A563BF">
              <w:rPr>
                <w:rFonts w:eastAsia="Calibri"/>
                <w:color w:val="000000"/>
                <w:lang w:eastAsia="zh-CN" w:bidi="ru-RU"/>
              </w:rPr>
              <w:t xml:space="preserve"> </w:t>
            </w:r>
            <w:r w:rsidR="009C01EB" w:rsidRPr="00583ED7">
              <w:rPr>
                <w:rFonts w:eastAsia="Calibri"/>
                <w:lang w:eastAsia="zh-CN"/>
              </w:rPr>
              <w:t>ФГБУ «Заповедное Подлеморье».</w:t>
            </w:r>
            <w:r w:rsidR="00341231" w:rsidRPr="00A563BF">
              <w:rPr>
                <w:rFonts w:eastAsia="Calibri"/>
                <w:color w:val="000000"/>
                <w:lang w:eastAsia="zh-CN" w:bidi="ru-RU"/>
              </w:rPr>
              <w:t xml:space="preserve"> </w:t>
            </w:r>
            <w:r w:rsidRPr="00A563BF">
              <w:rPr>
                <w:rFonts w:eastAsia="Calibri"/>
                <w:color w:val="000000"/>
                <w:lang w:eastAsia="zh-CN" w:bidi="ru-RU"/>
              </w:rPr>
              <w:t>Агрегирование и корреляция собираемых данных об уязвимостях</w:t>
            </w:r>
          </w:p>
        </w:tc>
      </w:tr>
      <w:tr w:rsidR="00CD49FC" w:rsidRPr="00A563BF" w14:paraId="0C409513" w14:textId="77777777"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DAD659" w14:textId="77777777" w:rsidR="00CD49FC" w:rsidRPr="00A563BF" w:rsidRDefault="00CD49FC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DCBB3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Оценка применимости</w:t>
            </w:r>
          </w:p>
          <w:p w14:paraId="7B5C9B25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уязвимости</w:t>
            </w:r>
          </w:p>
        </w:tc>
        <w:tc>
          <w:tcPr>
            <w:tcW w:w="7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C3DE" w14:textId="60E3F98E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 xml:space="preserve">На основе информации об объектах информационных систем и их состоянии определяется применимость уязвимости к информационным системам </w:t>
            </w:r>
            <w:r w:rsidR="009C01EB" w:rsidRPr="00A563BF">
              <w:rPr>
                <w:rFonts w:eastAsia="Calibri"/>
                <w:color w:val="000000"/>
                <w:lang w:eastAsia="zh-CN" w:bidi="ru-RU"/>
              </w:rPr>
              <w:t>ФГБУ «Заповедное Подлеморье»</w:t>
            </w:r>
            <w:r w:rsidRPr="00A563BF">
              <w:rPr>
                <w:rFonts w:eastAsia="Calibri"/>
                <w:color w:val="000000"/>
                <w:lang w:eastAsia="zh-CN" w:bidi="ru-RU"/>
              </w:rPr>
              <w:t xml:space="preserve"> с целью определения уязвимостей, не требующих дальнейшей обработки (не релевантных уязвимостей). Оценка применимости уязвимостей производится:</w:t>
            </w:r>
          </w:p>
          <w:p w14:paraId="0D3EE502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 основе анализа данных об ИТ-инфраструктуре;</w:t>
            </w:r>
          </w:p>
          <w:p w14:paraId="40E42A89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 основе анализа данных о возможных объектах воздействия.</w:t>
            </w:r>
          </w:p>
        </w:tc>
      </w:tr>
    </w:tbl>
    <w:p w14:paraId="24A3C26F" w14:textId="77777777" w:rsidR="00CD49FC" w:rsidRPr="00A563BF" w:rsidRDefault="00CD49FC">
      <w:pPr>
        <w:widowControl w:val="0"/>
        <w:tabs>
          <w:tab w:val="left" w:pos="1276"/>
        </w:tabs>
        <w:spacing w:line="276" w:lineRule="auto"/>
        <w:jc w:val="both"/>
        <w:rPr>
          <w:rFonts w:eastAsia="Calibri"/>
          <w:color w:val="000000"/>
          <w:lang w:eastAsia="zh-CN" w:bidi="ru-RU"/>
        </w:rPr>
      </w:pPr>
    </w:p>
    <w:p w14:paraId="3966EF92" w14:textId="77777777" w:rsidR="00CD49FC" w:rsidRPr="00A563BF" w:rsidRDefault="00676A8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firstLine="0"/>
        <w:contextualSpacing/>
        <w:jc w:val="center"/>
      </w:pPr>
      <w:r w:rsidRPr="00A563BF">
        <w:br w:type="column"/>
      </w:r>
      <w:r w:rsidRPr="00A563BF">
        <w:rPr>
          <w:rFonts w:eastAsia="Calibri"/>
          <w:b/>
          <w:color w:val="000000"/>
          <w:lang w:eastAsia="zh-CN" w:bidi="ru-RU"/>
        </w:rPr>
        <w:lastRenderedPageBreak/>
        <w:t>АНАЛИЗ И ОЦЕНКА УЯЗВИМОСТЕЙ</w:t>
      </w:r>
    </w:p>
    <w:p w14:paraId="3D018650" w14:textId="77777777" w:rsidR="00CD49FC" w:rsidRPr="00A563BF" w:rsidRDefault="00CD49FC">
      <w:pPr>
        <w:widowControl w:val="0"/>
        <w:tabs>
          <w:tab w:val="left" w:pos="426"/>
        </w:tabs>
        <w:spacing w:line="276" w:lineRule="auto"/>
        <w:jc w:val="center"/>
        <w:rPr>
          <w:rFonts w:eastAsia="Calibri"/>
          <w:color w:val="000000"/>
          <w:lang w:eastAsia="zh-CN" w:bidi="ru-RU"/>
        </w:rPr>
      </w:pPr>
    </w:p>
    <w:p w14:paraId="7E8A6F78" w14:textId="7B48CC32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 xml:space="preserve">3.1. С целью определения уровня критичности уязвимостей применительно к информационным системам </w:t>
      </w:r>
      <w:r w:rsidR="009C01EB" w:rsidRPr="00583ED7">
        <w:rPr>
          <w:rFonts w:eastAsia="Calibri"/>
          <w:color w:val="000000"/>
          <w:lang w:eastAsia="zh-CN" w:bidi="ru-RU"/>
        </w:rPr>
        <w:t>ФГБУ «Заповедное Подлеморье»</w:t>
      </w:r>
      <w:r w:rsidRPr="00A563BF">
        <w:rPr>
          <w:rFonts w:eastAsia="Calibri"/>
          <w:color w:val="000000"/>
          <w:lang w:eastAsia="zh-CN" w:bidi="ru-RU"/>
        </w:rPr>
        <w:t xml:space="preserve"> производится анализ и оценка уязвимостей.</w:t>
      </w:r>
    </w:p>
    <w:p w14:paraId="1FE34894" w14:textId="5EF0F5C2" w:rsidR="00CD49FC" w:rsidRPr="00A563BF" w:rsidRDefault="00676A81">
      <w:pPr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3.2. Оценка уровня критичности уязвимостей в информационных системах</w:t>
      </w:r>
      <w:r w:rsidR="009C01EB" w:rsidRPr="00A563BF">
        <w:rPr>
          <w:rFonts w:eastAsia="Calibri"/>
          <w:color w:val="000000"/>
          <w:lang w:eastAsia="zh-CN" w:bidi="ru-RU"/>
        </w:rPr>
        <w:t xml:space="preserve"> ФГБУ «Заповедное Подлеморье»</w:t>
      </w:r>
      <w:r w:rsidRPr="00A563BF">
        <w:rPr>
          <w:rFonts w:eastAsia="Calibri"/>
          <w:color w:val="000000"/>
          <w:lang w:eastAsia="zh-CN" w:bidi="ru-RU"/>
        </w:rPr>
        <w:t xml:space="preserve"> проводится в соответствии с </w:t>
      </w:r>
      <w:r w:rsidRPr="00A563BF">
        <w:rPr>
          <w:rFonts w:eastAsia="Arial Unicode MS"/>
        </w:rPr>
        <w:t>Методикой оценки уровня критичности уязвимостей программных, программно-аппаратных средств, утвержденной ФСТЭК России 28.10.2022.</w:t>
      </w:r>
    </w:p>
    <w:p w14:paraId="6D642483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both"/>
      </w:pPr>
      <w:r w:rsidRPr="00A563BF">
        <w:rPr>
          <w:rFonts w:eastAsia="Calibri"/>
          <w:color w:val="000000"/>
          <w:lang w:eastAsia="zh-CN" w:bidi="ru-RU"/>
        </w:rPr>
        <w:t>3.3. На этапе оценки уязвимостей выполняются операции, приведенные в таблице 2</w:t>
      </w:r>
    </w:p>
    <w:p w14:paraId="35D9B21F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right"/>
      </w:pPr>
      <w:r w:rsidRPr="00A563BF">
        <w:rPr>
          <w:rFonts w:eastAsia="Calibri"/>
          <w:color w:val="000000"/>
          <w:lang w:eastAsia="zh-CN" w:bidi="ru-RU"/>
        </w:rPr>
        <w:t>Таблица 2</w:t>
      </w:r>
    </w:p>
    <w:tbl>
      <w:tblPr>
        <w:tblW w:w="10178" w:type="dxa"/>
        <w:tblInd w:w="141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65"/>
        <w:gridCol w:w="3260"/>
        <w:gridCol w:w="6253"/>
      </w:tblGrid>
      <w:tr w:rsidR="00CD49FC" w:rsidRPr="00A563BF" w14:paraId="10AE17B9" w14:textId="77777777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324E7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№</w:t>
            </w:r>
          </w:p>
          <w:p w14:paraId="56FBA35C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6DA90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Наименование</w:t>
            </w:r>
          </w:p>
          <w:p w14:paraId="17EB8D7F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операции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0A0B" w14:textId="77777777" w:rsidR="00CD49FC" w:rsidRPr="00A563BF" w:rsidRDefault="00676A81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Описание операции</w:t>
            </w:r>
          </w:p>
        </w:tc>
      </w:tr>
      <w:tr w:rsidR="00CD49FC" w:rsidRPr="00A563BF" w14:paraId="5A63A00C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D0D1E1" w14:textId="77777777" w:rsidR="00CD49FC" w:rsidRPr="00A563BF" w:rsidRDefault="00CD49FC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1044A8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Получение информации об объектах, подверженных</w:t>
            </w:r>
          </w:p>
          <w:p w14:paraId="6226C968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уязвимости</w:t>
            </w:r>
          </w:p>
        </w:tc>
        <w:tc>
          <w:tcPr>
            <w:tcW w:w="6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8C9A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Получение выборки объектов информационных систем, подверженных уязвимости</w:t>
            </w:r>
          </w:p>
        </w:tc>
      </w:tr>
      <w:tr w:rsidR="00CD49FC" w:rsidRPr="00A563BF" w14:paraId="1BA75244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FFDDBA" w14:textId="77777777" w:rsidR="00CD49FC" w:rsidRPr="00A563BF" w:rsidRDefault="00CD49FC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E9FB98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Определение уровня опасности уязвимости</w:t>
            </w:r>
          </w:p>
        </w:tc>
        <w:tc>
          <w:tcPr>
            <w:tcW w:w="6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B396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Расчет базовой, контекстной и временной метрик по методике CVSS с использованием калькулятора CVSS V3 или V3.1, размещенного в БДУ ФСТЭК России</w:t>
            </w:r>
          </w:p>
        </w:tc>
      </w:tr>
      <w:tr w:rsidR="00CD49FC" w:rsidRPr="00A563BF" w14:paraId="74CF4671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BCD32" w14:textId="77777777" w:rsidR="00CD49FC" w:rsidRPr="00A563BF" w:rsidRDefault="00CD49FC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CBF6D7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Определение влияния на информационные системы</w:t>
            </w:r>
          </w:p>
        </w:tc>
        <w:tc>
          <w:tcPr>
            <w:tcW w:w="6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83BA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Определение влияния уязвимого компонента на защищенность информационных систем</w:t>
            </w:r>
          </w:p>
        </w:tc>
      </w:tr>
      <w:tr w:rsidR="00CD49FC" w:rsidRPr="00A563BF" w14:paraId="7D45B93B" w14:textId="77777777"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CE4F04" w14:textId="77777777" w:rsidR="00CD49FC" w:rsidRPr="00A563BF" w:rsidRDefault="00CD49FC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A30EE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Расчет критичности уязвимости</w:t>
            </w:r>
          </w:p>
        </w:tc>
        <w:tc>
          <w:tcPr>
            <w:tcW w:w="6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0A8F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Получение значений уровней критичности обнаруженных уязвимостей</w:t>
            </w:r>
          </w:p>
        </w:tc>
      </w:tr>
    </w:tbl>
    <w:p w14:paraId="76E00FDB" w14:textId="77777777" w:rsidR="00CD49FC" w:rsidRPr="00A563BF" w:rsidRDefault="00CD49FC">
      <w:pPr>
        <w:widowControl w:val="0"/>
        <w:tabs>
          <w:tab w:val="left" w:pos="426"/>
        </w:tabs>
        <w:spacing w:line="276" w:lineRule="auto"/>
        <w:ind w:firstLine="709"/>
        <w:jc w:val="both"/>
        <w:rPr>
          <w:rFonts w:eastAsia="Calibri"/>
          <w:color w:val="000000"/>
          <w:lang w:eastAsia="zh-CN" w:bidi="ru-RU"/>
        </w:rPr>
      </w:pPr>
    </w:p>
    <w:p w14:paraId="0CCD357B" w14:textId="77777777" w:rsidR="00CD49FC" w:rsidRPr="00A563BF" w:rsidRDefault="00676A81">
      <w:pPr>
        <w:widowControl w:val="0"/>
        <w:numPr>
          <w:ilvl w:val="0"/>
          <w:numId w:val="3"/>
        </w:numPr>
        <w:tabs>
          <w:tab w:val="left" w:pos="426"/>
        </w:tabs>
        <w:spacing w:line="276" w:lineRule="auto"/>
        <w:ind w:firstLine="0"/>
        <w:contextualSpacing/>
        <w:jc w:val="center"/>
      </w:pPr>
      <w:r w:rsidRPr="00A563BF">
        <w:rPr>
          <w:rFonts w:eastAsia="Calibri"/>
          <w:b/>
          <w:color w:val="000000"/>
          <w:lang w:eastAsia="zh-CN" w:bidi="ru-RU"/>
        </w:rPr>
        <w:t>УСТРАНЕНИЕ УЯЗВИМОСТЕЙ</w:t>
      </w:r>
    </w:p>
    <w:p w14:paraId="378958F8" w14:textId="77777777" w:rsidR="00CD49FC" w:rsidRPr="00A563BF" w:rsidRDefault="00CD49FC">
      <w:pPr>
        <w:widowControl w:val="0"/>
        <w:tabs>
          <w:tab w:val="left" w:pos="426"/>
        </w:tabs>
        <w:spacing w:line="276" w:lineRule="auto"/>
        <w:contextualSpacing/>
        <w:jc w:val="center"/>
        <w:rPr>
          <w:rFonts w:eastAsia="Calibri"/>
          <w:b/>
          <w:color w:val="000000"/>
          <w:lang w:eastAsia="zh-CN" w:bidi="ru-RU"/>
        </w:rPr>
      </w:pPr>
    </w:p>
    <w:p w14:paraId="2B26FF28" w14:textId="77777777" w:rsidR="00CD49FC" w:rsidRPr="00A563BF" w:rsidRDefault="00676A81">
      <w:pPr>
        <w:widowControl w:val="0"/>
        <w:numPr>
          <w:ilvl w:val="1"/>
          <w:numId w:val="3"/>
        </w:numPr>
        <w:spacing w:before="260" w:line="276" w:lineRule="auto"/>
        <w:ind w:left="0" w:firstLine="737"/>
        <w:contextualSpacing/>
        <w:jc w:val="both"/>
      </w:pPr>
      <w:r w:rsidRPr="00A563BF">
        <w:t>Приоритетность устранения уязвимостей и выбор методов их устранения (обновление программного обеспечения и (или) применение компенсирующих мер защиты информации) осуществляются на этапе определения методов и приоритетов устранения уязвимостей.</w:t>
      </w:r>
    </w:p>
    <w:p w14:paraId="12176BF0" w14:textId="77777777" w:rsidR="00CD49FC" w:rsidRPr="00A563BF" w:rsidRDefault="00676A81">
      <w:pPr>
        <w:widowControl w:val="0"/>
        <w:numPr>
          <w:ilvl w:val="1"/>
          <w:numId w:val="3"/>
        </w:numPr>
        <w:spacing w:line="276" w:lineRule="auto"/>
        <w:ind w:left="0" w:firstLine="737"/>
        <w:contextualSpacing/>
        <w:jc w:val="both"/>
      </w:pPr>
      <w:r w:rsidRPr="00A563BF">
        <w:rPr>
          <w:rFonts w:eastAsia="Calibri"/>
          <w:lang w:eastAsia="zh-CN"/>
        </w:rPr>
        <w:t>На этапе устранения уязвимостей принимаются меры, направленные на устранение или исключение возможности использования (эксплуатации) уязвимостей, выявленные на этапе мониторинга. При этом выполняются операции, представленные в таблице 3.</w:t>
      </w:r>
    </w:p>
    <w:p w14:paraId="279497D4" w14:textId="77777777" w:rsidR="00CD49FC" w:rsidRPr="00A563BF" w:rsidRDefault="00676A81">
      <w:pPr>
        <w:widowControl w:val="0"/>
        <w:tabs>
          <w:tab w:val="left" w:pos="426"/>
        </w:tabs>
        <w:spacing w:line="276" w:lineRule="auto"/>
        <w:ind w:firstLine="709"/>
        <w:jc w:val="right"/>
      </w:pPr>
      <w:r w:rsidRPr="00A563BF">
        <w:rPr>
          <w:rFonts w:eastAsia="Calibri"/>
          <w:color w:val="000000"/>
          <w:lang w:eastAsia="zh-CN" w:bidi="ru-RU"/>
        </w:rPr>
        <w:t>Таблица 3.</w:t>
      </w:r>
    </w:p>
    <w:tbl>
      <w:tblPr>
        <w:tblW w:w="1020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06"/>
        <w:gridCol w:w="2182"/>
        <w:gridCol w:w="7315"/>
      </w:tblGrid>
      <w:tr w:rsidR="00CD49FC" w:rsidRPr="00A563BF" w14:paraId="14D2770B" w14:textId="7777777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157FE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№</w:t>
            </w:r>
          </w:p>
          <w:p w14:paraId="04E952B1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п/п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5F23F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Наименование</w:t>
            </w:r>
          </w:p>
          <w:p w14:paraId="12FB193B" w14:textId="77777777" w:rsidR="00CD49FC" w:rsidRPr="00A563BF" w:rsidRDefault="00676A81">
            <w:pPr>
              <w:widowControl w:val="0"/>
              <w:tabs>
                <w:tab w:val="left" w:pos="426"/>
              </w:tabs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операции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A4B4" w14:textId="77777777" w:rsidR="00CD49FC" w:rsidRPr="00A563BF" w:rsidRDefault="00676A81">
            <w:pPr>
              <w:widowControl w:val="0"/>
              <w:tabs>
                <w:tab w:val="left" w:pos="426"/>
              </w:tabs>
              <w:spacing w:line="276" w:lineRule="auto"/>
              <w:jc w:val="center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Описание операции</w:t>
            </w:r>
          </w:p>
        </w:tc>
      </w:tr>
      <w:tr w:rsidR="00CD49FC" w:rsidRPr="00A563BF" w14:paraId="4B14D5B9" w14:textId="77777777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D98D1" w14:textId="77777777" w:rsidR="00CD49FC" w:rsidRPr="00A563BF" w:rsidRDefault="00CD49FC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4C7022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Тестирование обновления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28A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Выявление потенциально опасных функциональных возможностей, незадекларированных разработчиком программных, программно-аппаратных средств, в том числе политических баннеров, лозунгов, призывов и иной противоправной информации (далее – недекларированные возможности)</w:t>
            </w:r>
          </w:p>
        </w:tc>
      </w:tr>
      <w:tr w:rsidR="00CD49FC" w:rsidRPr="00A563BF" w14:paraId="2A8BDFE0" w14:textId="77777777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57FFE2" w14:textId="77777777" w:rsidR="00CD49FC" w:rsidRPr="00A563BF" w:rsidRDefault="00CD49FC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06D99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Установка обновления в тестовом сегменте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6105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Установка обновлений на выбранном тестовом сегменте информационной системы в целях определения влияния их установки на ее функционирование</w:t>
            </w:r>
          </w:p>
        </w:tc>
      </w:tr>
      <w:tr w:rsidR="00CD49FC" w:rsidRPr="00A563BF" w14:paraId="3EBC40A5" w14:textId="77777777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184CF2" w14:textId="77777777" w:rsidR="00CD49FC" w:rsidRPr="00A563BF" w:rsidRDefault="00CD49FC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CBF12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 xml:space="preserve">Принятие решения об </w:t>
            </w:r>
            <w:r w:rsidRPr="00A563BF">
              <w:rPr>
                <w:rFonts w:eastAsia="Calibri"/>
                <w:color w:val="000000"/>
                <w:lang w:eastAsia="zh-CN" w:bidi="ru-RU"/>
              </w:rPr>
              <w:lastRenderedPageBreak/>
              <w:t>установке обновления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099B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lastRenderedPageBreak/>
              <w:t xml:space="preserve">В случае, если негативного влияния от установки обновления на выбранном сегменте системы не выявлено, принимается решение о </w:t>
            </w:r>
            <w:r w:rsidRPr="00A563BF">
              <w:rPr>
                <w:rFonts w:eastAsia="Calibri"/>
                <w:color w:val="000000"/>
                <w:lang w:eastAsia="zh-CN" w:bidi="ru-RU"/>
              </w:rPr>
              <w:lastRenderedPageBreak/>
              <w:t>его распространении в системе. В случае обнаружения негативного влияния от установки обновления на выбранном сегменте системы дальнейшее распространение обновления не осуществляется, при этом для нейтрализации уязвимости применяются компенсирующие меры защиты информации</w:t>
            </w:r>
          </w:p>
        </w:tc>
      </w:tr>
      <w:tr w:rsidR="00CD49FC" w:rsidRPr="00A563BF" w14:paraId="3589C753" w14:textId="77777777"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8E2C4" w14:textId="77777777" w:rsidR="00CD49FC" w:rsidRPr="00A563BF" w:rsidRDefault="00CD49FC">
            <w:pPr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Arial Unicode MS"/>
                <w:color w:val="000000"/>
                <w:lang w:eastAsia="zh-CN" w:bidi="ru-RU"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F05777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Разработка и реализация компенсирующих мер защиты информации</w:t>
            </w:r>
          </w:p>
        </w:tc>
        <w:tc>
          <w:tcPr>
            <w:tcW w:w="7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70A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Разработка и применение компенсирующих мер защиты информации, которые применяются в связи с невозможностью установки обновления, обнаружением негативного влияния от установки обновления, а также в случае необходимости принятия мер до устранения уязвимости производителем.</w:t>
            </w:r>
          </w:p>
          <w:p w14:paraId="7044470F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К компенсирующим мерам защиты информации могут относиться: организационные меры защиты информации;</w:t>
            </w:r>
          </w:p>
          <w:p w14:paraId="0666EEC8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настройка средств защиты информации;</w:t>
            </w:r>
          </w:p>
          <w:p w14:paraId="35E32A86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анализ событий безопасности;</w:t>
            </w:r>
          </w:p>
          <w:p w14:paraId="66E33589" w14:textId="77777777" w:rsidR="00CD49FC" w:rsidRPr="00A563BF" w:rsidRDefault="00676A81">
            <w:pPr>
              <w:widowControl w:val="0"/>
              <w:tabs>
                <w:tab w:val="left" w:pos="426"/>
              </w:tabs>
              <w:jc w:val="both"/>
            </w:pPr>
            <w:r w:rsidRPr="00A563BF">
              <w:rPr>
                <w:rFonts w:eastAsia="Calibri"/>
                <w:color w:val="000000"/>
                <w:lang w:eastAsia="zh-CN" w:bidi="ru-RU"/>
              </w:rPr>
              <w:t>внесение изменений в ИТ-инфраструктуру.</w:t>
            </w:r>
          </w:p>
        </w:tc>
      </w:tr>
    </w:tbl>
    <w:p w14:paraId="01B08CFA" w14:textId="77777777" w:rsidR="00CD49FC" w:rsidRPr="00A563BF" w:rsidRDefault="00CD49FC">
      <w:pPr>
        <w:widowControl w:val="0"/>
        <w:tabs>
          <w:tab w:val="left" w:pos="426"/>
        </w:tabs>
        <w:spacing w:line="276" w:lineRule="auto"/>
        <w:ind w:firstLine="709"/>
        <w:jc w:val="both"/>
        <w:rPr>
          <w:rFonts w:eastAsia="Calibri"/>
          <w:color w:val="000000"/>
          <w:lang w:eastAsia="zh-CN" w:bidi="ru-RU"/>
        </w:rPr>
      </w:pPr>
    </w:p>
    <w:p w14:paraId="6D1D13C8" w14:textId="7668C103" w:rsidR="00CD49FC" w:rsidRPr="00A563BF" w:rsidRDefault="00676A81">
      <w:pPr>
        <w:widowControl w:val="0"/>
        <w:numPr>
          <w:ilvl w:val="1"/>
          <w:numId w:val="3"/>
        </w:numPr>
        <w:spacing w:line="276" w:lineRule="auto"/>
        <w:ind w:left="0" w:firstLine="680"/>
        <w:contextualSpacing/>
        <w:jc w:val="both"/>
      </w:pPr>
      <w:r w:rsidRPr="00A563BF">
        <w:rPr>
          <w:rFonts w:eastAsia="Calibri"/>
          <w:lang w:eastAsia="zh-CN"/>
        </w:rPr>
        <w:t>Тестирование обновлений программных и программно-аппаратных средств осуществляется в соответствии с Методикой тестирования обновлений программных, программно-аппаратных средств, утвержденной ФСТЭК России 28 октября 2022 г., по решению</w:t>
      </w:r>
      <w:r w:rsidR="009C01EB" w:rsidRPr="00A563BF">
        <w:rPr>
          <w:rFonts w:eastAsia="Calibri"/>
          <w:lang w:eastAsia="zh-CN"/>
        </w:rPr>
        <w:t xml:space="preserve"> ФГБУ «Заповедное Подлеморье»</w:t>
      </w:r>
      <w:r w:rsidRPr="00A563BF">
        <w:rPr>
          <w:rFonts w:eastAsia="Calibri"/>
          <w:lang w:eastAsia="zh-CN"/>
        </w:rPr>
        <w:t xml:space="preserve"> в случае отсутствия соответствующих результатов тестирования в БДУ ФСТЭК России.</w:t>
      </w:r>
    </w:p>
    <w:p w14:paraId="0F8CCC02" w14:textId="77777777" w:rsidR="00CD49FC" w:rsidRPr="00A563BF" w:rsidRDefault="00676A81">
      <w:pPr>
        <w:widowControl w:val="0"/>
        <w:numPr>
          <w:ilvl w:val="1"/>
          <w:numId w:val="3"/>
        </w:numPr>
        <w:spacing w:line="276" w:lineRule="auto"/>
        <w:ind w:left="0" w:firstLine="737"/>
        <w:contextualSpacing/>
        <w:jc w:val="both"/>
      </w:pPr>
      <w:r w:rsidRPr="00A563BF">
        <w:rPr>
          <w:rFonts w:eastAsia="Calibri"/>
          <w:lang w:eastAsia="zh-CN"/>
        </w:rPr>
        <w:t>При наличии соответствующих сведений могут быть использованы компенсирующие меры защиты информации, представленные в бюллетенях безопасности разработчиков программных, программно-аппаратных средств, а также в описаниях уязвимостей, опубликованных в БДУ ФСТЭК России.</w:t>
      </w:r>
    </w:p>
    <w:p w14:paraId="277B25F2" w14:textId="77777777" w:rsidR="00CD49FC" w:rsidRPr="00A563BF" w:rsidRDefault="00676A81">
      <w:pPr>
        <w:widowControl w:val="0"/>
        <w:numPr>
          <w:ilvl w:val="1"/>
          <w:numId w:val="3"/>
        </w:numPr>
        <w:spacing w:line="276" w:lineRule="auto"/>
        <w:ind w:left="0" w:firstLine="737"/>
        <w:contextualSpacing/>
        <w:jc w:val="both"/>
      </w:pPr>
      <w:r w:rsidRPr="00A563BF">
        <w:rPr>
          <w:rFonts w:eastAsia="Calibri"/>
          <w:lang w:eastAsia="zh-CN"/>
        </w:rPr>
        <w:t>Сроки устранения уязвимостей:</w:t>
      </w:r>
    </w:p>
    <w:p w14:paraId="3A6B77C0" w14:textId="77777777" w:rsidR="00CD49FC" w:rsidRPr="00A563BF" w:rsidRDefault="00676A81">
      <w:pPr>
        <w:widowControl w:val="0"/>
        <w:spacing w:line="276" w:lineRule="auto"/>
        <w:ind w:firstLine="737"/>
        <w:jc w:val="both"/>
      </w:pPr>
      <w:r w:rsidRPr="00A563BF">
        <w:rPr>
          <w:rFonts w:eastAsia="Calibri"/>
          <w:color w:val="000000"/>
          <w:lang w:eastAsia="zh-CN" w:bidi="ru-RU"/>
        </w:rPr>
        <w:t>критический уровень опасности до 24 часов;</w:t>
      </w:r>
    </w:p>
    <w:p w14:paraId="47DDDB7D" w14:textId="77777777" w:rsidR="00CD49FC" w:rsidRPr="00A563BF" w:rsidRDefault="00676A81">
      <w:pPr>
        <w:widowControl w:val="0"/>
        <w:spacing w:line="276" w:lineRule="auto"/>
        <w:ind w:firstLine="737"/>
        <w:jc w:val="both"/>
      </w:pPr>
      <w:r w:rsidRPr="00A563BF">
        <w:rPr>
          <w:rFonts w:eastAsia="Calibri"/>
          <w:color w:val="000000"/>
          <w:lang w:eastAsia="zh-CN" w:bidi="ru-RU"/>
        </w:rPr>
        <w:t>высокий уровень опасности – до 7 дней;</w:t>
      </w:r>
    </w:p>
    <w:p w14:paraId="253A22FA" w14:textId="77777777" w:rsidR="00CD49FC" w:rsidRPr="00A563BF" w:rsidRDefault="00676A81">
      <w:pPr>
        <w:widowControl w:val="0"/>
        <w:spacing w:line="276" w:lineRule="auto"/>
        <w:ind w:firstLine="737"/>
        <w:jc w:val="both"/>
      </w:pPr>
      <w:r w:rsidRPr="00A563BF">
        <w:rPr>
          <w:rFonts w:eastAsia="Calibri"/>
          <w:color w:val="000000"/>
          <w:lang w:eastAsia="zh-CN" w:bidi="ru-RU"/>
        </w:rPr>
        <w:t>средний уровень опасности – до 4 недель;</w:t>
      </w:r>
    </w:p>
    <w:p w14:paraId="425C9F1F" w14:textId="77777777" w:rsidR="00CD49FC" w:rsidRPr="00D52B0D" w:rsidRDefault="00676A81">
      <w:pPr>
        <w:widowControl w:val="0"/>
        <w:spacing w:line="276" w:lineRule="auto"/>
        <w:ind w:firstLine="737"/>
        <w:jc w:val="both"/>
      </w:pPr>
      <w:r w:rsidRPr="00A563BF">
        <w:rPr>
          <w:rFonts w:eastAsia="Calibri"/>
          <w:color w:val="000000"/>
          <w:lang w:eastAsia="zh-CN" w:bidi="ru-RU"/>
        </w:rPr>
        <w:t>низкий уровень опасности – до 4 месяцев.</w:t>
      </w:r>
    </w:p>
    <w:sectPr w:rsidR="00CD49FC" w:rsidRPr="00D52B0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AAE"/>
    <w:multiLevelType w:val="multilevel"/>
    <w:tmpl w:val="F570610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1" w15:restartNumberingAfterBreak="0">
    <w:nsid w:val="1C081E97"/>
    <w:multiLevelType w:val="multilevel"/>
    <w:tmpl w:val="7BC24B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5F5400"/>
    <w:multiLevelType w:val="multilevel"/>
    <w:tmpl w:val="3490FC5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43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 w15:restartNumberingAfterBreak="0">
    <w:nsid w:val="52A677D4"/>
    <w:multiLevelType w:val="multilevel"/>
    <w:tmpl w:val="C3F6683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82C76C2"/>
    <w:multiLevelType w:val="multilevel"/>
    <w:tmpl w:val="CE92350C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923098C"/>
    <w:multiLevelType w:val="multilevel"/>
    <w:tmpl w:val="8580EF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720"/>
      </w:pPr>
      <w:rPr>
        <w:rFonts w:ascii="PT Astra Serif" w:eastAsia="Calibri" w:hAnsi="PT Astra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 w16cid:durableId="2039701401">
    <w:abstractNumId w:val="1"/>
  </w:num>
  <w:num w:numId="2" w16cid:durableId="1568615450">
    <w:abstractNumId w:val="5"/>
  </w:num>
  <w:num w:numId="3" w16cid:durableId="780681634">
    <w:abstractNumId w:val="2"/>
  </w:num>
  <w:num w:numId="4" w16cid:durableId="1243414824">
    <w:abstractNumId w:val="0"/>
  </w:num>
  <w:num w:numId="5" w16cid:durableId="1301957385">
    <w:abstractNumId w:val="4"/>
  </w:num>
  <w:num w:numId="6" w16cid:durableId="305667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C"/>
    <w:rsid w:val="00341231"/>
    <w:rsid w:val="004E30CF"/>
    <w:rsid w:val="00583ED7"/>
    <w:rsid w:val="00676A81"/>
    <w:rsid w:val="007C3E2F"/>
    <w:rsid w:val="007C7143"/>
    <w:rsid w:val="009C01EB"/>
    <w:rsid w:val="00A563BF"/>
    <w:rsid w:val="00B211A4"/>
    <w:rsid w:val="00B47E8B"/>
    <w:rsid w:val="00CD49FC"/>
    <w:rsid w:val="00D5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9D68"/>
  <w15:docId w15:val="{3A7E5EC0-9695-45B5-BBFB-4D5DB94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D3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rsid w:val="008D3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4D701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a"/>
    <w:qFormat/>
    <w:rsid w:val="00F43C9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Символ нумерации"/>
    <w:qFormat/>
  </w:style>
  <w:style w:type="paragraph" w:styleId="ac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link w:val="a9"/>
    <w:rsid w:val="00F43C9B"/>
    <w:pPr>
      <w:jc w:val="center"/>
    </w:pPr>
    <w:rPr>
      <w:b/>
      <w:bCs/>
      <w:szCs w:val="20"/>
    </w:rPr>
  </w:style>
  <w:style w:type="paragraph" w:styleId="ad">
    <w:name w:val="List"/>
    <w:basedOn w:val="aa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uiPriority w:val="99"/>
    <w:qFormat/>
    <w:rsid w:val="00B936F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D399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uiPriority w:val="99"/>
    <w:semiHidden/>
    <w:unhideWhenUsed/>
    <w:rsid w:val="008D3997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828A5"/>
    <w:pPr>
      <w:ind w:left="720"/>
      <w:contextualSpacing/>
    </w:pPr>
  </w:style>
  <w:style w:type="paragraph" w:styleId="a8">
    <w:name w:val="Balloon Text"/>
    <w:basedOn w:val="a"/>
    <w:link w:val="a7"/>
    <w:uiPriority w:val="99"/>
    <w:semiHidden/>
    <w:unhideWhenUsed/>
    <w:qFormat/>
    <w:rsid w:val="004D70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2340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59"/>
    <w:rsid w:val="00B2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15E32-3C0D-47D8-81FA-7331233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sdanilenko</dc:creator>
  <dc:description/>
  <cp:lastModifiedBy>Сураева Вероника Викторовна</cp:lastModifiedBy>
  <cp:revision>3</cp:revision>
  <cp:lastPrinted>2023-08-28T14:14:00Z</cp:lastPrinted>
  <dcterms:created xsi:type="dcterms:W3CDTF">2023-09-26T05:08:00Z</dcterms:created>
  <dcterms:modified xsi:type="dcterms:W3CDTF">2023-09-26T05:12:00Z</dcterms:modified>
  <dc:language>ru-RU</dc:language>
</cp:coreProperties>
</file>